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SP5 Light and the electromagnetic spectrum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Spectrum and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electromagnetic waves as transverse energy transfers with equal vacuum speed and no required medium.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Order the continuous spectrum and visible colours by wavelength and frequency.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electromagnetic wavelengths, frequencies and travel times using suitable unit conversions.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wavelength-dependent material interactions and explain speed and wavelength changes in materials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Refraction practical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rays through rectangular glass blocks, drawing normals and measuring angles with controlled technique.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parallel displaced emerging rays and straight normal-incidence rays.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Detection and production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Herschel's infrared and Ritter's ultraviolet investigations using appropriate detectors.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radio production and reception through oscillations in electrical circuits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how radiation emission and absorption can change atoms and nuclei.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SP5 Light and the electromagnetic spectrum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Uses and hazards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radio, microwave and infrared uses to communication, absorption, heating and thermal detection.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visible, ultraviolet, X-ray and gamma uses to illumination, fluorescence, imaging and sterilisation.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excessive-exposure hazards and distinguish ionisation from heating, considering frequency, intensity and exposure.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protection and medical benefits against radiation risks and explain atmospheric detector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Reflection and colour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reflection and refraction rays and compare specular and diffuse reflection.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object colours and filters using wavelength absorption, reflection and transmission.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critical angle, total internal reflection and optical fibres.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Lenses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lens shape, signed power and focal length and calculate lens power.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converging and diverging lens rays to locate images.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real and virtual images for different lens types and object positions.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Thermal radiation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temperature affects emitted radiation and wavelength distribution.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absorbed/emitted power balance and Earth's radiation balance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and evaluate surface-radiation investigations using at least four controlled containers.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SP5 Light and the electromagnetic spectrum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