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SP4 Waves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Wave behaviour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 and information transfer without net matter transfer, using water and sound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transverse and longitudinal waves, their examples, compressions and rarefactions.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sound needs a medium while electromagnetic waves can cross a vacuum.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Measurements and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wavelength, amplitude, frequency, period and wavefronts from descriptions and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wave speed from frequency and wavelength or distance and time.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period from frequency and use appropriate units and wavelength interval counts.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wave speed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ripple-tank measurements, including frequency, several wavelengths, reflections and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string-wave measurements using node spacing, generator frequency and controlled tension.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sound-speed methods using microphone delays or echoes, including round-trip distance.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SP4 Waves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Refraction and materials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refraction through speed changes and draw ray directions relative to the normal.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unchanged frequency, changed wavelength and normal-incidence behaviour across a boundary.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wavelength-dependent reflection, absorption, transmission and refraction by materials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Wave boundaries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reflection, absorption, transmission and sound-wave changes at material boundaries.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echo distances from round-trip time and wave speed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ultrasound, infrasound and their imaging, sonar and Earth-monitoring uses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Hearing and response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how the ear converts sound vibrations into nerve signals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limited frequency responses of ears, microphones and loudspeakers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SP4 Waves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