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SP13 Electromagnetic induction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Induction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induced voltage from changing fields or relative motion and distinguish voltage from closed-circuit current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effects of magnet speed, strength, coil turns, motion reversal and pole reversal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induced-field opposition and why mechanical work supplies electrical energy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controlled induction investigations using signed voltage measurements, stationary comparisons and repeatable movements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Transformer operation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transformer operation through alternating primary current, linked changing fields and induced secondary voltage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steady DC fails and distinguish step-up from step-down alternating-voltage changes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Transformer power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missing transformer voltages and currents using equal input and output power for 100%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ideal power equality from real losses and calculate useful or dissipated power from efficiency.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SP13 Electromagnetic induction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National Grid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step-up and step-down transformer locations and high-voltage transmission for lower current and heating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transmission current and cable heating and explain the squared-current loss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grid's energy-transfer role and distinguish transmission voltages from domestic supply and safe access.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Generators and sound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induced current from relative movement between conductors and magnetic fields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alternators and dynamos using slip rings, commutators and output waveforms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moving-coil microphones, loudspeakers and headphones and their energy transfers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Transformers and transmission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ideal transformer turns and voltage ratios and explain alternating input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ideal power balance to relate transformer voltages and currents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high-voltage transmission and calculate current-related cable losses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SP13 Electromagnetic induction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