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SC20 Fuels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Crude oil and separation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hydrocarbons, crude oil mixtures and finite fossil resources used as fuels and petrochemical feedstocks.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fractional distillation using the temperature gradient, boiling ranges and condensation levels.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Recall main crude-oil fractions in order and link each to its 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chain-length effects on boiling point, viscosity and ease of ignition.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Hydrocarbon patterns and cracking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alkane homologous-series patterns and use the general formula for acyclic alkanes.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saturated alkanes and unsaturated alkenes and describe useful cracking products.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cracking conditions and demand, balance cracking equations and distinguish cracking from physical distillation.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Combustion and pollution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complete combustion equations and explain energy release and carbon dioxide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incomplete combustion products, reduced useful energy and carbon monoxide and soot hazards.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sulfur dioxide formation, acid rain and effects on ecosystems and carbonate buildings.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high-temperature nitrogen oxide formation and compare measures for reducing different pollutants.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Fuel choices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hydrogen and petrol using storage, infrastructure, safety, energy supply and whole-life emissions.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hydrogen combustion from fuel cells and explain possible water and nitrogen oxide emissions.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SC20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SC20 Fuels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