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Dhamma and existence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Dhamma as the Buddha's teaching and truth about reality.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following the Dhamma influences Buddhist conduct.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dependent arising.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anicca.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anatta without denying ordinary personal experience.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forms of dukkha.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Personality and destiny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Five Aggregates.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sensation from perception in the Five Aggregates.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form as the physical aggregate.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mental formations as an aggregate of intentions and habits.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consciousness as awareness of an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Five Aggregates support anatta.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sunyata as emptiness of independent inherent existence.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Buddha-nature and the possibility of Buddhahood.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Personality and destiny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Arhat ideal in Theravada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Bodhisattva ideal in Mahayana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Arhat and Bodhisattva ideals without stereotyping either tradition.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Buddhist meaning of complete Buddhahood.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Amitabha in Pure Land Buddhism.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Pure Land rebirth is valued.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importance of faith and recitation in Pure Land practice.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Buddha's life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the Buddha's birth and protected early life.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Four Sights.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Four Sights motivated Siddhartha's 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Jataka 075 to explain the significance of the Four Sights.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Siddhartha rejected severe asceticism.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Middle Way.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the Buddha's enlightenment.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RS3 Buddhism: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Four Noble Truths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Four Noble Truths.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craving as a cause of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Three Poisons cause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third Noble Truth's teaching that craving can cease.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nibbana and distinguish it from ordinary pleasure or a creator's heaven.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eight parts of the Eightfold Path.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understanding and intention within wisdom.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speech, action and livelihood within ethics.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right effort, mindfulness and concentration within meditation.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Threefold Way's divisions support each other.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Dhammapada 190–191 to explain the relationship between refuge and the path.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RS3 Buddhism: beliefs and teachings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