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MUS5 Film Music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OCR GCSE Music J536 | Components 1 &amp; 2 &amp; 3 · Specification 2b AoS4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Purpose, narrative and resources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screen-music purposes and diegetic/non-diegetic perspective.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original film scoring from pre-existing repertoire used on screen.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acoustic/electronic resources and production with appropriate uncertainty.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named film composers and specific cue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Motifs, harmony and dramatic development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motif and leitmotif and explain narrative association.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Transform a recognisable theme through pitch, rhythm, harmony or timbre.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inversion, ostinato and development without assuming tempo changes.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harmonic tension, resolution and tonal ambiguity.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texture, register, articulation and dynamics support a scene.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pacing, density, silence and changes of emphasis.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audible articulation evidence to support an interpretation.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MUS5 Film Music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OCR GCSE Music J536 | Components 1 &amp; 2 &amp; 3 · Specification 2b AoS4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Synchronisation and video games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musical timing around selected visual hit points.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detailed audiovisual correspondence and alternative underscore approaches.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and evaluate a convincing repeating game loop.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vertical layering, horizontal resequencing and musical transitions.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adaptive arrangement from a volume change alone.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Discuss game composers, platform limitations and sound palettes.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Appraisal and composition exercises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and evaluate screen cues using located musical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Compose contrasting versions of an original motif and evaluate their purpose.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the dramatic effect of sparse and thick textures.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MUS5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MUS5 Film Music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