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H2 The British sector of the Western Front, 1914–18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setting and trench system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the British sector and explain the significance of the Ypres salient.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Somme, Arras and Cambrai created medical challenges.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trench system and explain transport and communication difficulties.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Ill health, injuries and gas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trench foot prevention and other illnesses caused by trench conditions.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lice, dysentery and the varied recognition of shell shock.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medical problems caused by bullets, shrapnel and head injuries.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effects of different gases and the development of protection.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medical knowledge available in 1914, including the absence of penicillin treatment.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H2 The British sector of the Western Front, 1914–18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Personnel and the evacuation chain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roles of the RAMC, nurses and stretcher bearers.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evacuation chain and distinguish a field ambulance from a vehicle.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treatment and triage at aid posts, dressing stations and clearing stations.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work of base hospitals and onward transport to Britain.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trade-offs between transport speed, patient needs and medical staff safety.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Surgery, X-rays and blood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wound excision and antiseptic irrigation.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Thomas splint improved evacuation of leg injuries.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origins, uses and limitations of wartime X-rays.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blood grouping, anticoagulants and storage enabled transfusion.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Robertson's stored blood supply at Cambrai.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how war accelerated medical developments and obstructed care.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H2 The British sector of the Western Front, 1914–18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Historical enquiry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source's usefulness using its content, provenance and historical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strengths and limitations of national and local sources for a specific enquiry.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Frame a focused follow-up question and justify an appropriate source.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whether statistics or one person's experience support a general conclusion.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H2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 The British sector of the Western Front, 1914–18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