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G2 Tectonic hazards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1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Plates and margins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Earth's structure, plate movement and differences between oceanic and continental crust.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earthquake and volcano distribution, including hotspots and focus versus epicentre.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constructive margins using plate movement, magma, new crust and hazards.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destructive and collision margins, including subduction, mountains and contrasting hazards.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conservative margins and why they cause earthquakes without forming volcanoes.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Impacts and contrasting places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primary and secondary effects and immediate and long-term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tectonic impacts and responses in two places of contrasting wealth using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contrasting outcomes using physical conditions, exposure, vulnerability and recovery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Living with hazards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people live near tectonic hazards.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monitoring and prediction, including earthquake uncertainty and tsunami-warning limits.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protection and planning reduce tectonic risk and their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G2 Tectonic hazards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