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CP5 Light and the electromagnetic spectrum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Spectrum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electromagnetic waves as transverse energy transfers with equal vacuum speed and no required medium.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Order the continuous spectrum and visible colours by wavelength and frequency.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electromagnetic wavelengths, frequencies and travel times using suitable unit conversions.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wavelength-dependent material interactions and explain speed and wavelength changes in materials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Refraction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rays through rectangular glass blocks, drawing normals and measuring angles with controlled technique.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parallel displaced emerging rays and straight normal-incidence rays.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Detection and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Herschel's infrared and Ritter's ultraviolet investigations using appropriate detectors.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radio production and reception through oscillations in electrical circuits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radiation emission and absorption can change atoms and nuclei.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Uses and hazards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radio, microwave and infrared uses to communication, absorption, heating and thermal detection.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visible, ultraviolet, X-ray and gamma uses to illumination, fluorescence, imaging and sterilisation.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excessive-exposure hazards and distinguish ionisation from heating, considering frequency, intensity and exposure.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protection and medical benefits against radiation risks and explain atmospheric detector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CP5 Light and the electromagnetic spectrum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