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BUS7 Making marketing decisions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Business 1BS0 | Theme 2 /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Product decisions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trade-offs between function, aesthetics and cost in the design mix.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product life-cycle stages and explain their sales and cost implications.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differentiation and extension strategies, recognising life-cycle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Pricing decisions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cost-plus, competitive, penetration, skimming and promotional pricing for different contexts.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cost-plus prices and distinguish mark-up on cost from margin on selling price.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price changes and revenue and explain why price cuts may not improve profit.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pricing using costs, competition, customers, technology, objectives and life-cycle stage.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BUS7 Making marketing decisions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Business 1BS0 | Theme 2 /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Promotion decisions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advertising, sponsorship, trials, special offers and branding for a target audience.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targeted online advertising, viral promotion and e-newsletters.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Judge promotion using sales, contribution and costs, recognising the limits of reach and views.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Place and distribution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retailers and e-tailers using customer access, service, cost and product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online fulfilment costs and explain delivery, returns and stock-coordination challenges.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 integrated marketing mix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an integrated mix creates competitive advantage for the target market.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how changes in price, product, technology or competition affect other mix elements and business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marketing recommendations using case evidence, demand, costs, profit and key assumptions.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BUS7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BUS7 Making marketing decisions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